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61" w:rsidRPr="00990368" w:rsidRDefault="00C14961" w:rsidP="00C14961">
      <w:pPr>
        <w:pStyle w:val="Appendixtitle"/>
        <w:rPr>
          <w:rFonts w:cs="Open Sans"/>
        </w:rPr>
      </w:pPr>
      <w:r>
        <w:rPr>
          <w:rFonts w:cs="Open Sans"/>
        </w:rPr>
        <w:t>Readiness to Receive Declaration: For Food Surplus Recipients</w:t>
      </w:r>
      <w:bookmarkStart w:id="0" w:name="_GoBack"/>
      <w:bookmarkEnd w:id="0"/>
    </w:p>
    <w:p w:rsidR="00C14961" w:rsidRPr="00990368" w:rsidRDefault="00C14961" w:rsidP="00C14961">
      <w:pPr>
        <w:pStyle w:val="Picturecaption"/>
        <w:rPr>
          <w:rFonts w:cs="Open Sans"/>
        </w:rPr>
      </w:pPr>
    </w:p>
    <w:tbl>
      <w:tblPr>
        <w:tblStyle w:val="TableGrid"/>
        <w:tblW w:w="15025" w:type="dxa"/>
        <w:tblInd w:w="-459" w:type="dxa"/>
        <w:tblLook w:val="04A0" w:firstRow="1" w:lastRow="0" w:firstColumn="1" w:lastColumn="0" w:noHBand="0" w:noVBand="1"/>
      </w:tblPr>
      <w:tblGrid>
        <w:gridCol w:w="5400"/>
        <w:gridCol w:w="2538"/>
        <w:gridCol w:w="7087"/>
      </w:tblGrid>
      <w:tr w:rsidR="00C14961" w:rsidRPr="00990368" w:rsidTr="00BF578A">
        <w:trPr>
          <w:trHeight w:val="149"/>
          <w:tblHeader/>
        </w:trPr>
        <w:tc>
          <w:tcPr>
            <w:tcW w:w="7938" w:type="dxa"/>
            <w:gridSpan w:val="2"/>
            <w:tcBorders>
              <w:bottom w:val="single" w:sz="4" w:space="0" w:color="auto"/>
              <w:right w:val="nil"/>
            </w:tcBorders>
            <w:shd w:val="clear" w:color="auto" w:fill="0F2B5B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b/>
                <w:color w:val="FFFFFF" w:themeColor="background1"/>
                <w:szCs w:val="20"/>
              </w:rPr>
            </w:pPr>
            <w:r w:rsidRPr="00990368">
              <w:rPr>
                <w:rFonts w:cs="Open Sans"/>
                <w:b/>
                <w:color w:val="FFFFFF" w:themeColor="background1"/>
                <w:szCs w:val="20"/>
              </w:rPr>
              <w:t xml:space="preserve">Readiness to Receive Declaration 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  <w:shd w:val="clear" w:color="auto" w:fill="0F2B5B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b/>
                <w:color w:val="FFFFFF" w:themeColor="background1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5400" w:type="dxa"/>
            <w:tcBorders>
              <w:right w:val="nil"/>
            </w:tcBorders>
            <w:shd w:val="clear" w:color="auto" w:fill="D9D9D9" w:themeFill="background1" w:themeFillShade="D9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b/>
                <w:szCs w:val="20"/>
              </w:rPr>
            </w:pPr>
            <w:r w:rsidRPr="00990368">
              <w:rPr>
                <w:rFonts w:cs="Open Sans"/>
                <w:b/>
                <w:szCs w:val="20"/>
              </w:rPr>
              <w:t>Part A: Contact details</w:t>
            </w:r>
          </w:p>
        </w:tc>
        <w:tc>
          <w:tcPr>
            <w:tcW w:w="253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  <w:tc>
          <w:tcPr>
            <w:tcW w:w="7087" w:type="dxa"/>
            <w:tcBorders>
              <w:left w:val="nil"/>
            </w:tcBorders>
            <w:shd w:val="clear" w:color="auto" w:fill="D9D9D9" w:themeFill="background1" w:themeFillShade="D9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 xml:space="preserve">Name of organisation receiving surplus: 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Charity Registration Number (or evidence of not-for-profit status)/ Company Number / VAT Number: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Key contact and contact details: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Address of organisation: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Number and locations of receiving depots/storage sites nationally: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Number of charity partners supplied with food surplus: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5400" w:type="dxa"/>
            <w:tcBorders>
              <w:right w:val="nil"/>
            </w:tcBorders>
            <w:shd w:val="clear" w:color="auto" w:fill="D9D9D9" w:themeFill="background1" w:themeFillShade="D9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b/>
                <w:szCs w:val="20"/>
              </w:rPr>
            </w:pPr>
            <w:r w:rsidRPr="00990368">
              <w:rPr>
                <w:rFonts w:cs="Open Sans"/>
                <w:b/>
                <w:szCs w:val="20"/>
              </w:rPr>
              <w:t>Part B: Nature of surplus able to receive</w:t>
            </w:r>
          </w:p>
        </w:tc>
        <w:tc>
          <w:tcPr>
            <w:tcW w:w="253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  <w:tc>
          <w:tcPr>
            <w:tcW w:w="7087" w:type="dxa"/>
            <w:tcBorders>
              <w:left w:val="nil"/>
            </w:tcBorders>
            <w:shd w:val="clear" w:color="auto" w:fill="D9D9D9" w:themeFill="background1" w:themeFillShade="D9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shd w:val="clear" w:color="auto" w:fill="auto"/>
            <w:vAlign w:val="center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Statement of ability to handle, store and redistribute different food types: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shd w:val="clear" w:color="auto" w:fill="auto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Responsiveness to shorter shelf-life product: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shd w:val="clear" w:color="auto" w:fill="auto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Minimum lead time requirements after notification of surplus: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shd w:val="clear" w:color="auto" w:fill="auto"/>
            <w:vAlign w:val="center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Scale of operation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shd w:val="clear" w:color="auto" w:fill="auto"/>
            <w:vAlign w:val="center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 xml:space="preserve">Ability to handle ‘non customer-ready’ product (including </w:t>
            </w:r>
            <w:proofErr w:type="spellStart"/>
            <w:r w:rsidRPr="00990368">
              <w:rPr>
                <w:rFonts w:cs="Open Sans"/>
                <w:szCs w:val="20"/>
              </w:rPr>
              <w:t>overlabelling</w:t>
            </w:r>
            <w:proofErr w:type="spellEnd"/>
            <w:r w:rsidRPr="00990368">
              <w:rPr>
                <w:rFonts w:cs="Open Sans"/>
                <w:szCs w:val="20"/>
              </w:rPr>
              <w:t>):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shd w:val="clear" w:color="auto" w:fill="auto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Number of meals served per annum: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5400" w:type="dxa"/>
            <w:tcBorders>
              <w:right w:val="nil"/>
            </w:tcBorders>
            <w:shd w:val="clear" w:color="auto" w:fill="D9D9D9" w:themeFill="background1" w:themeFillShade="D9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b/>
                <w:szCs w:val="20"/>
              </w:rPr>
            </w:pPr>
            <w:r w:rsidRPr="00990368">
              <w:rPr>
                <w:rFonts w:cs="Open Sans"/>
                <w:b/>
                <w:szCs w:val="20"/>
              </w:rPr>
              <w:t>Part C: Fulfilling requirements</w:t>
            </w:r>
          </w:p>
        </w:tc>
        <w:tc>
          <w:tcPr>
            <w:tcW w:w="253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jc w:val="both"/>
              <w:rPr>
                <w:rFonts w:cs="Open Sans"/>
                <w:szCs w:val="20"/>
              </w:rPr>
            </w:pPr>
          </w:p>
        </w:tc>
        <w:tc>
          <w:tcPr>
            <w:tcW w:w="7087" w:type="dxa"/>
            <w:tcBorders>
              <w:left w:val="nil"/>
            </w:tcBorders>
            <w:shd w:val="clear" w:color="auto" w:fill="D9D9D9" w:themeFill="background1" w:themeFillShade="D9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jc w:val="both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shd w:val="clear" w:color="auto" w:fill="auto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Details of in-house food safety and hygiene training and levels achieved: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shd w:val="clear" w:color="auto" w:fill="auto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Details of internal audit process: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shd w:val="clear" w:color="auto" w:fill="auto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Details of ability to provide traceability evidence: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shd w:val="clear" w:color="auto" w:fill="auto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Details of required spot checks or auditing of supplier: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5400" w:type="dxa"/>
            <w:tcBorders>
              <w:right w:val="nil"/>
            </w:tcBorders>
            <w:shd w:val="clear" w:color="auto" w:fill="D9D9D9" w:themeFill="background1" w:themeFillShade="D9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b/>
                <w:szCs w:val="20"/>
              </w:rPr>
            </w:pPr>
            <w:r w:rsidRPr="00990368">
              <w:rPr>
                <w:rFonts w:cs="Open Sans"/>
                <w:b/>
                <w:szCs w:val="20"/>
              </w:rPr>
              <w:lastRenderedPageBreak/>
              <w:t>Part D: Logistics</w:t>
            </w:r>
          </w:p>
        </w:tc>
        <w:tc>
          <w:tcPr>
            <w:tcW w:w="253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jc w:val="both"/>
              <w:rPr>
                <w:rFonts w:cs="Open Sans"/>
                <w:szCs w:val="20"/>
              </w:rPr>
            </w:pPr>
          </w:p>
        </w:tc>
        <w:tc>
          <w:tcPr>
            <w:tcW w:w="7087" w:type="dxa"/>
            <w:tcBorders>
              <w:left w:val="nil"/>
            </w:tcBorders>
            <w:shd w:val="clear" w:color="auto" w:fill="D9D9D9" w:themeFill="background1" w:themeFillShade="D9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jc w:val="both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shd w:val="clear" w:color="auto" w:fill="auto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Ability to collect surplus from providers: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shd w:val="clear" w:color="auto" w:fill="auto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Suitable delivery day(s) and time(s):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shd w:val="clear" w:color="auto" w:fill="auto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Geographies able to collect surplus from providers: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shd w:val="clear" w:color="auto" w:fill="auto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Back-up arrangements if unable to collect/receive surpluses from supplier: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Arrangements for waste disposal route for any surplus not used and any charges: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b/>
                <w:szCs w:val="20"/>
              </w:rPr>
              <w:t>Part E: Review, monitor and measure</w:t>
            </w:r>
          </w:p>
        </w:tc>
        <w:tc>
          <w:tcPr>
            <w:tcW w:w="7087" w:type="dxa"/>
            <w:tcBorders>
              <w:left w:val="nil"/>
            </w:tcBorders>
            <w:shd w:val="clear" w:color="auto" w:fill="D9D9D9" w:themeFill="background1" w:themeFillShade="D9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Communication plan: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b/>
                <w:szCs w:val="20"/>
              </w:rPr>
            </w:pPr>
            <w:r w:rsidRPr="00990368">
              <w:rPr>
                <w:rFonts w:cs="Open Sans"/>
                <w:b/>
                <w:szCs w:val="20"/>
              </w:rPr>
              <w:t>Part F: Statement of how food surplus is used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Statement of how food surplus is used: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5400" w:type="dxa"/>
            <w:tcBorders>
              <w:right w:val="nil"/>
            </w:tcBorders>
            <w:shd w:val="clear" w:color="auto" w:fill="D9D9D9" w:themeFill="background1" w:themeFillShade="D9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b/>
                <w:szCs w:val="20"/>
              </w:rPr>
            </w:pPr>
            <w:r w:rsidRPr="00990368">
              <w:rPr>
                <w:rFonts w:cs="Open Sans"/>
                <w:b/>
                <w:szCs w:val="20"/>
              </w:rPr>
              <w:t>Part G: Third party arrangements</w:t>
            </w:r>
          </w:p>
        </w:tc>
        <w:tc>
          <w:tcPr>
            <w:tcW w:w="253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jc w:val="both"/>
              <w:rPr>
                <w:rFonts w:cs="Open Sans"/>
                <w:szCs w:val="20"/>
              </w:rPr>
            </w:pPr>
          </w:p>
        </w:tc>
        <w:tc>
          <w:tcPr>
            <w:tcW w:w="7087" w:type="dxa"/>
            <w:tcBorders>
              <w:left w:val="nil"/>
            </w:tcBorders>
            <w:shd w:val="clear" w:color="auto" w:fill="D9D9D9" w:themeFill="background1" w:themeFillShade="D9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jc w:val="both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shd w:val="clear" w:color="auto" w:fill="auto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Details of third party recipients of the food surplus: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shd w:val="clear" w:color="auto" w:fill="auto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Mechanism for ensuring that transfer to any third party still meets the agreed standards and conditions: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shd w:val="clear" w:color="auto" w:fill="auto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Statement on conditions of use of food surplus by receiving organisation or any third parties, such as front-line charities using the redistributed food: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Statement of how this is reviewed/audited by recipient: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5400" w:type="dxa"/>
            <w:tcBorders>
              <w:right w:val="nil"/>
            </w:tcBorders>
            <w:shd w:val="clear" w:color="auto" w:fill="D9D9D9" w:themeFill="background1" w:themeFillShade="D9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b/>
                <w:szCs w:val="20"/>
              </w:rPr>
            </w:pPr>
            <w:r w:rsidRPr="00990368">
              <w:rPr>
                <w:rFonts w:cs="Open Sans"/>
                <w:b/>
                <w:szCs w:val="20"/>
              </w:rPr>
              <w:t>Part H: Documentation</w:t>
            </w:r>
          </w:p>
        </w:tc>
        <w:tc>
          <w:tcPr>
            <w:tcW w:w="253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  <w:tc>
          <w:tcPr>
            <w:tcW w:w="7087" w:type="dxa"/>
            <w:tcBorders>
              <w:left w:val="nil"/>
            </w:tcBorders>
            <w:shd w:val="clear" w:color="auto" w:fill="D9D9D9" w:themeFill="background1" w:themeFillShade="D9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Documentation transfer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Legal liability for food and arrangement over point of transfer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  <w:tr w:rsidR="00C14961" w:rsidRPr="00990368" w:rsidTr="00BF578A">
        <w:trPr>
          <w:trHeight w:val="149"/>
        </w:trPr>
        <w:tc>
          <w:tcPr>
            <w:tcW w:w="7938" w:type="dxa"/>
            <w:gridSpan w:val="2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  <w:r w:rsidRPr="00990368">
              <w:rPr>
                <w:rFonts w:cs="Open Sans"/>
                <w:szCs w:val="20"/>
              </w:rPr>
              <w:t>Arrangement for supplier indemnity over any claim for loss or damage in relation to supplying surplus to recipient</w:t>
            </w:r>
          </w:p>
        </w:tc>
        <w:tc>
          <w:tcPr>
            <w:tcW w:w="7087" w:type="dxa"/>
          </w:tcPr>
          <w:p w:rsidR="00C14961" w:rsidRPr="00990368" w:rsidRDefault="00C14961" w:rsidP="00BF578A">
            <w:pPr>
              <w:spacing w:beforeLines="20" w:before="48" w:afterLines="20" w:after="48" w:line="240" w:lineRule="auto"/>
              <w:rPr>
                <w:rFonts w:cs="Open Sans"/>
                <w:szCs w:val="20"/>
              </w:rPr>
            </w:pPr>
          </w:p>
        </w:tc>
      </w:tr>
    </w:tbl>
    <w:p w:rsidR="001D5F2A" w:rsidRDefault="001D5F2A"/>
    <w:sectPr w:rsidR="001D5F2A" w:rsidSect="00C14961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A3" w:rsidRDefault="00922BA3" w:rsidP="00C14961">
      <w:pPr>
        <w:spacing w:line="240" w:lineRule="auto"/>
      </w:pPr>
      <w:r>
        <w:separator/>
      </w:r>
    </w:p>
  </w:endnote>
  <w:endnote w:type="continuationSeparator" w:id="0">
    <w:p w:rsidR="00922BA3" w:rsidRDefault="00922BA3" w:rsidP="00C14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61" w:rsidRDefault="00C14961" w:rsidP="00C14961">
    <w:pPr>
      <w:pStyle w:val="Footer"/>
      <w:jc w:val="right"/>
    </w:pPr>
    <w:r>
      <w:t>Framework for Effective Redistribution Partnerships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A3" w:rsidRDefault="00922BA3" w:rsidP="00C14961">
      <w:pPr>
        <w:spacing w:line="240" w:lineRule="auto"/>
      </w:pPr>
      <w:r>
        <w:separator/>
      </w:r>
    </w:p>
  </w:footnote>
  <w:footnote w:type="continuationSeparator" w:id="0">
    <w:p w:rsidR="00922BA3" w:rsidRDefault="00922BA3" w:rsidP="00C149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61" w:rsidRDefault="002C5AAD" w:rsidP="00C14961">
    <w:pPr>
      <w:pStyle w:val="Header"/>
      <w:jc w:val="right"/>
    </w:pPr>
    <w:r>
      <w:rPr>
        <w:noProof/>
        <w:lang w:eastAsia="en-GB"/>
      </w:rPr>
      <w:drawing>
        <wp:inline distT="0" distB="0" distL="0" distR="0" wp14:anchorId="77E56C71" wp14:editId="169078B2">
          <wp:extent cx="171450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61"/>
    <w:rsid w:val="001D5F2A"/>
    <w:rsid w:val="002C5AAD"/>
    <w:rsid w:val="00922BA3"/>
    <w:rsid w:val="00C1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9362AE4-5CA0-481C-B07C-E6309175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961"/>
    <w:pPr>
      <w:spacing w:after="0" w:line="240" w:lineRule="atLeast"/>
    </w:pPr>
    <w:rPr>
      <w:rFonts w:ascii="Open Sans" w:eastAsia="Times New Roman" w:hAnsi="Open San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961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4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4961"/>
    <w:rPr>
      <w:rFonts w:ascii="Open Sans" w:eastAsia="Times New Roman" w:hAnsi="Open Sans" w:cs="Times New Roman"/>
      <w:szCs w:val="24"/>
    </w:rPr>
  </w:style>
  <w:style w:type="paragraph" w:customStyle="1" w:styleId="Appendixtitle">
    <w:name w:val="Appendix title"/>
    <w:basedOn w:val="Normal"/>
    <w:next w:val="Normal"/>
    <w:rsid w:val="00C14961"/>
    <w:pPr>
      <w:tabs>
        <w:tab w:val="left" w:pos="4820"/>
      </w:tabs>
      <w:spacing w:after="300" w:line="600" w:lineRule="atLeast"/>
    </w:pPr>
    <w:rPr>
      <w:color w:val="8795AD"/>
      <w:sz w:val="48"/>
    </w:rPr>
  </w:style>
  <w:style w:type="paragraph" w:customStyle="1" w:styleId="Picturecaption">
    <w:name w:val="Picture caption"/>
    <w:basedOn w:val="Normal"/>
    <w:qFormat/>
    <w:rsid w:val="00C14961"/>
    <w:pPr>
      <w:spacing w:line="180" w:lineRule="atLeast"/>
    </w:pPr>
    <w:rPr>
      <w:color w:val="0F2B5B"/>
      <w:sz w:val="14"/>
    </w:rPr>
  </w:style>
  <w:style w:type="paragraph" w:styleId="Footer">
    <w:name w:val="footer"/>
    <w:basedOn w:val="Normal"/>
    <w:link w:val="FooterChar"/>
    <w:uiPriority w:val="99"/>
    <w:unhideWhenUsed/>
    <w:rsid w:val="00C149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961"/>
    <w:rPr>
      <w:rFonts w:ascii="Open Sans" w:eastAsia="Times New Roman" w:hAnsi="Open San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9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Hawley</dc:creator>
  <cp:lastModifiedBy>Louisa Coursey</cp:lastModifiedBy>
  <cp:revision>2</cp:revision>
  <dcterms:created xsi:type="dcterms:W3CDTF">2018-01-04T13:05:00Z</dcterms:created>
  <dcterms:modified xsi:type="dcterms:W3CDTF">2018-01-04T13:05:00Z</dcterms:modified>
</cp:coreProperties>
</file>